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D3" w:rsidRDefault="00B871D3" w:rsidP="00B871D3">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B871D3" w:rsidRDefault="00B871D3" w:rsidP="00B871D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871D3" w:rsidRDefault="00B871D3" w:rsidP="00B871D3">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116B9C"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116B9C"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116B9C"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116B9C"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116B9C"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116B9C"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116B9C"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116B9C"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116B9C"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116B9C"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116B9C"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116B9C"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116B9C"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116B9C"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116B9C"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116B9C"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116B9C"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116B9C"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116B9C"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116B9C"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116B9C"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116B9C"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116B9C"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116B9C"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9C" w:rsidRDefault="00116B9C">
      <w:pPr>
        <w:spacing w:after="0" w:line="240" w:lineRule="auto"/>
      </w:pPr>
      <w:r>
        <w:separator/>
      </w:r>
    </w:p>
  </w:endnote>
  <w:endnote w:type="continuationSeparator" w:id="0">
    <w:p w:rsidR="00116B9C" w:rsidRDefault="0011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E2" w:rsidRDefault="00116B9C">
    <w:pPr>
      <w:pStyle w:val="af6"/>
      <w:jc w:val="center"/>
    </w:pPr>
    <w:r>
      <w:fldChar w:fldCharType="begin"/>
    </w:r>
    <w:r>
      <w:instrText xml:space="preserve"> PAGE   \* MERGEFORMAT </w:instrText>
    </w:r>
    <w:r>
      <w:fldChar w:fldCharType="separate"/>
    </w:r>
    <w:r w:rsidR="00E74662">
      <w:rPr>
        <w:noProof/>
      </w:rPr>
      <w:t>2</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9C" w:rsidRDefault="00116B9C">
      <w:pPr>
        <w:spacing w:after="0" w:line="240" w:lineRule="auto"/>
      </w:pPr>
      <w:r>
        <w:separator/>
      </w:r>
    </w:p>
  </w:footnote>
  <w:footnote w:type="continuationSeparator" w:id="0">
    <w:p w:rsidR="00116B9C" w:rsidRDefault="00116B9C">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15:restartNumberingAfterBreak="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15:restartNumberingAfterBreak="0">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B9C"/>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662"/>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D73BE671-2AF6-4246-9D0B-CA0C066A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65331</Words>
  <Characters>372388</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436846</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user408</cp:lastModifiedBy>
  <cp:revision>3</cp:revision>
  <cp:lastPrinted>2015-04-03T11:11:00Z</cp:lastPrinted>
  <dcterms:created xsi:type="dcterms:W3CDTF">2016-04-29T04:26:00Z</dcterms:created>
  <dcterms:modified xsi:type="dcterms:W3CDTF">2016-04-29T04:26:00Z</dcterms:modified>
</cp:coreProperties>
</file>